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A41E" w14:textId="29BA09A3" w:rsidR="00780B09" w:rsidRDefault="00780B09" w:rsidP="00780B09">
      <w:r w:rsidRPr="00780B09">
        <w:rPr>
          <w:b/>
          <w:bCs/>
          <w:u w:val="single"/>
        </w:rPr>
        <w:t>Texas Water 101: Forging Resilience Through Innovation and Adaptation</w:t>
      </w:r>
      <w:r>
        <w:t xml:space="preserve"> (Chester Springs, PA: Chester Springs Media Group, 2025). </w:t>
      </w:r>
      <w:r w:rsidR="00754ED8">
        <w:rPr>
          <w:rFonts w:cstheme="minorHAnsi"/>
        </w:rPr>
        <w:t>©</w:t>
      </w:r>
    </w:p>
    <w:p w14:paraId="68B1F1AF" w14:textId="4F621727" w:rsidR="00780B09" w:rsidRDefault="00780B09" w:rsidP="00780B09">
      <w:r>
        <w:t>All Rights Reserved. Limited Use License Provided to Purchaser. Not To Be Copied or Shared.</w:t>
      </w:r>
    </w:p>
    <w:p w14:paraId="3F801CAB" w14:textId="3EDF565A" w:rsidR="001458EF" w:rsidRDefault="001458EF" w:rsidP="00780B09">
      <w:pPr>
        <w:rPr>
          <w:b/>
          <w:bCs/>
        </w:rPr>
      </w:pPr>
      <w:r w:rsidRPr="00B04204">
        <w:rPr>
          <w:b/>
          <w:bCs/>
        </w:rPr>
        <w:t xml:space="preserve">Chapter 10. Final Thoughts </w:t>
      </w:r>
      <w:r w:rsidR="00B04204" w:rsidRPr="00B04204">
        <w:rPr>
          <w:b/>
          <w:bCs/>
        </w:rPr>
        <w:t>and Implications</w:t>
      </w:r>
    </w:p>
    <w:p w14:paraId="76D4C0E0" w14:textId="23498FD8" w:rsidR="007D51BF" w:rsidRDefault="002069EB" w:rsidP="002069EB">
      <w:pPr>
        <w:jc w:val="both"/>
      </w:pPr>
      <w:r w:rsidRPr="002A52D6">
        <w:t>Texas is</w:t>
      </w:r>
      <w:r w:rsidRPr="008B098B">
        <w:t xml:space="preserve"> ground zero for </w:t>
      </w:r>
      <w:r w:rsidR="007D51BF">
        <w:t xml:space="preserve">a future in </w:t>
      </w:r>
      <w:r w:rsidRPr="008B098B">
        <w:t>water crises, especially in agriculture, real e</w:t>
      </w:r>
      <w:r>
        <w:t>state</w:t>
      </w:r>
      <w:r w:rsidRPr="008B098B">
        <w:t xml:space="preserve">, energy, and high-tech industries. </w:t>
      </w:r>
      <w:r w:rsidR="00075275">
        <w:t xml:space="preserve">Water prices </w:t>
      </w:r>
      <w:r>
        <w:t>are going to increase</w:t>
      </w:r>
      <w:r w:rsidR="00075275">
        <w:t xml:space="preserve"> and will need </w:t>
      </w:r>
      <w:r w:rsidR="002004D4">
        <w:t>to support</w:t>
      </w:r>
      <w:r w:rsidR="00A64269">
        <w:t xml:space="preserve"> the massive effort </w:t>
      </w:r>
      <w:r w:rsidR="00A51CC8">
        <w:t xml:space="preserve">water infrastructure </w:t>
      </w:r>
      <w:r w:rsidR="00221DB4">
        <w:t xml:space="preserve">investment </w:t>
      </w:r>
      <w:r w:rsidR="00A51CC8">
        <w:t>a</w:t>
      </w:r>
      <w:r w:rsidR="00221DB4">
        <w:t>head</w:t>
      </w:r>
      <w:r w:rsidR="00A64269">
        <w:t>.</w:t>
      </w:r>
    </w:p>
    <w:p w14:paraId="47192381" w14:textId="21A15190" w:rsidR="002069EB" w:rsidRPr="008B098B" w:rsidRDefault="00221DB4" w:rsidP="002069EB">
      <w:pPr>
        <w:jc w:val="both"/>
      </w:pPr>
      <w:r>
        <w:t xml:space="preserve">The </w:t>
      </w:r>
      <w:r w:rsidR="002069EB">
        <w:t xml:space="preserve">state </w:t>
      </w:r>
      <w:r w:rsidR="00271E1D">
        <w:t xml:space="preserve">now has a patchwork of incremental rules and regulations that involve </w:t>
      </w:r>
      <w:r w:rsidR="006B1B6D">
        <w:t xml:space="preserve">cluttering the state constitution and the combined </w:t>
      </w:r>
      <w:r w:rsidR="002069EB">
        <w:t xml:space="preserve">top-down and bottom-up policy and implementation approach </w:t>
      </w:r>
      <w:r w:rsidR="006B1B6D">
        <w:t xml:space="preserve">is cumbersome, inefficient and prevents local water authorities to scale up, </w:t>
      </w:r>
      <w:r w:rsidR="00CB46CB">
        <w:t>and deploy the new technology and management approaches that are needed. There are some water districts that stand out in term</w:t>
      </w:r>
      <w:r w:rsidR="004D7B9C">
        <w:t>s</w:t>
      </w:r>
      <w:r w:rsidR="00CB46CB">
        <w:t xml:space="preserve"> of deploying aggressive water conservation and leak detection and even using desalination, which will be needed in the future. </w:t>
      </w:r>
      <w:r w:rsidR="006A541C">
        <w:t xml:space="preserve">A substantial amount training and more transparent monitoring, reporting and verification will be needed by the state and local water districts. </w:t>
      </w:r>
      <w:r w:rsidR="002069EB">
        <w:t xml:space="preserve">More </w:t>
      </w:r>
      <w:r w:rsidR="009375CD">
        <w:t xml:space="preserve">state </w:t>
      </w:r>
      <w:r w:rsidR="002069EB">
        <w:t>money is needed</w:t>
      </w:r>
      <w:r w:rsidR="009375CD">
        <w:t xml:space="preserve"> but it will have to be </w:t>
      </w:r>
      <w:r w:rsidR="00945A1E">
        <w:t>used in conjunction with administrative reform.</w:t>
      </w:r>
      <w:r w:rsidR="002069EB">
        <w:t xml:space="preserve"> </w:t>
      </w:r>
    </w:p>
    <w:p w14:paraId="2A73E88D" w14:textId="2F730D1F" w:rsidR="002069EB" w:rsidRDefault="002069EB" w:rsidP="002069EB">
      <w:pPr>
        <w:jc w:val="both"/>
      </w:pPr>
      <w:r>
        <w:t xml:space="preserve">More structural </w:t>
      </w:r>
      <w:r w:rsidR="00945A1E">
        <w:t xml:space="preserve">and administrative </w:t>
      </w:r>
      <w:r>
        <w:t xml:space="preserve">development </w:t>
      </w:r>
      <w:r w:rsidR="00945A1E">
        <w:t xml:space="preserve">are needed to accommodate higher investments to balance supply and demand. </w:t>
      </w:r>
      <w:r w:rsidR="008C2137">
        <w:t>More aggressive leak detection monitoring and benchmarking are needed. More statewide branded water conservation initiatives are also needed.</w:t>
      </w:r>
      <w:r>
        <w:t xml:space="preserve"> </w:t>
      </w:r>
    </w:p>
    <w:p w14:paraId="3BAD3726" w14:textId="77777777" w:rsidR="002069EB" w:rsidRDefault="002069EB" w:rsidP="002069EB">
      <w:pPr>
        <w:jc w:val="both"/>
      </w:pPr>
      <w:r>
        <w:t xml:space="preserve">Incentives should also be considered to streamline and build scale for local water system delivery of conservation and coordination of regional water supply. </w:t>
      </w:r>
    </w:p>
    <w:p w14:paraId="7F29830B" w14:textId="77777777" w:rsidR="002069EB" w:rsidRDefault="002069EB" w:rsidP="002069EB">
      <w:pPr>
        <w:jc w:val="both"/>
      </w:pPr>
      <w:r>
        <w:t>Some major considerations for the state in the years ahead include the following:</w:t>
      </w:r>
    </w:p>
    <w:p w14:paraId="56BE3AD2" w14:textId="0BC676B0" w:rsidR="002069EB" w:rsidRDefault="002069EB" w:rsidP="002069EB">
      <w:pPr>
        <w:pStyle w:val="ListParagraph"/>
        <w:numPr>
          <w:ilvl w:val="1"/>
          <w:numId w:val="1"/>
        </w:numPr>
        <w:ind w:left="450"/>
        <w:jc w:val="both"/>
      </w:pPr>
      <w:r w:rsidRPr="003D3B63">
        <w:t xml:space="preserve">Investigate more creative and </w:t>
      </w:r>
      <w:r w:rsidR="00B77B17">
        <w:t>out-of-the-box</w:t>
      </w:r>
      <w:r w:rsidRPr="003D3B63">
        <w:t xml:space="preserve"> thinking about balancing water supply and demand</w:t>
      </w:r>
      <w:r w:rsidR="00B77B17">
        <w:t>,</w:t>
      </w:r>
      <w:r w:rsidRPr="003D3B63">
        <w:t xml:space="preserve"> including innovative mathematical and financial </w:t>
      </w:r>
      <w:r w:rsidR="00DA5242">
        <w:t>s</w:t>
      </w:r>
      <w:r w:rsidRPr="003D3B63">
        <w:t>olutions</w:t>
      </w:r>
      <w:r>
        <w:t>.</w:t>
      </w:r>
      <w:r w:rsidR="00DA5242">
        <w:t xml:space="preserve"> </w:t>
      </w:r>
      <w:r>
        <w:t>This includes major corporate investment into mega investment projects to leverage available state funds.</w:t>
      </w:r>
    </w:p>
    <w:p w14:paraId="5AE37AE8" w14:textId="67EF18C1" w:rsidR="002069EB" w:rsidRDefault="002069EB" w:rsidP="002069EB">
      <w:pPr>
        <w:pStyle w:val="ListParagraph"/>
        <w:numPr>
          <w:ilvl w:val="1"/>
          <w:numId w:val="1"/>
        </w:numPr>
        <w:ind w:left="450"/>
        <w:jc w:val="both"/>
      </w:pPr>
      <w:r>
        <w:t xml:space="preserve">Rarify </w:t>
      </w:r>
      <w:r w:rsidR="00DA5242">
        <w:t xml:space="preserve">and use </w:t>
      </w:r>
      <w:r>
        <w:t xml:space="preserve">checklists </w:t>
      </w:r>
      <w:r w:rsidR="001B08F0">
        <w:t xml:space="preserve">local water district performance on the use of </w:t>
      </w:r>
      <w:r>
        <w:t xml:space="preserve">best practice </w:t>
      </w:r>
      <w:r w:rsidR="001B08F0">
        <w:t xml:space="preserve">performance and certification of water district performance </w:t>
      </w:r>
      <w:r w:rsidR="00514007">
        <w:t xml:space="preserve">on staff training and certification in </w:t>
      </w:r>
      <w:r>
        <w:t>water use management and technology deployment.</w:t>
      </w:r>
    </w:p>
    <w:p w14:paraId="63EEF058" w14:textId="77777777" w:rsidR="002069EB" w:rsidRDefault="002069EB" w:rsidP="002069EB">
      <w:pPr>
        <w:pStyle w:val="ListParagraph"/>
        <w:numPr>
          <w:ilvl w:val="1"/>
          <w:numId w:val="1"/>
        </w:numPr>
        <w:ind w:left="450"/>
        <w:jc w:val="both"/>
      </w:pPr>
      <w:r>
        <w:t>Continue to tighten building code standards and consider limits to growth and dependencies on local water reservoirs – this is being done now in some areas, but this could be expanded.</w:t>
      </w:r>
    </w:p>
    <w:p w14:paraId="6087468B" w14:textId="51F68761" w:rsidR="002069EB" w:rsidRDefault="002069EB" w:rsidP="002069EB">
      <w:pPr>
        <w:pStyle w:val="ListParagraph"/>
        <w:numPr>
          <w:ilvl w:val="1"/>
          <w:numId w:val="1"/>
        </w:numPr>
        <w:ind w:left="450"/>
        <w:jc w:val="both"/>
      </w:pPr>
      <w:r>
        <w:t>Recognize more fully that the goal is not only water resilience but climate adaptation because Texas is being hit with a variety of geophysical and hydrological climate forces, including heavy dependency on carbon-emitting industries</w:t>
      </w:r>
      <w:r w:rsidR="00583721">
        <w:t xml:space="preserve">. There is also ongoing </w:t>
      </w:r>
      <w:r>
        <w:t>precipitation volatility and rising temperatures</w:t>
      </w:r>
      <w:r w:rsidR="0094276A">
        <w:t xml:space="preserve">. </w:t>
      </w:r>
      <w:r>
        <w:t xml:space="preserve">Land subsidence and depleted aquifers are </w:t>
      </w:r>
      <w:r w:rsidR="002004D4">
        <w:t>risks and</w:t>
      </w:r>
      <w:r w:rsidR="00A13135">
        <w:t xml:space="preserve"> are </w:t>
      </w:r>
      <w:r w:rsidR="0094276A">
        <w:t>key issues</w:t>
      </w:r>
      <w:r w:rsidR="00A13135">
        <w:t xml:space="preserve"> </w:t>
      </w:r>
      <w:r w:rsidR="00911531">
        <w:t>requiring</w:t>
      </w:r>
      <w:r w:rsidR="00A13135">
        <w:t xml:space="preserve"> more focused action</w:t>
      </w:r>
      <w:r w:rsidR="00911531">
        <w:t xml:space="preserve"> across the various conservation districts.</w:t>
      </w:r>
    </w:p>
    <w:p w14:paraId="40AA35E3" w14:textId="5A31998F" w:rsidR="002069EB" w:rsidRDefault="002069EB" w:rsidP="002069EB">
      <w:pPr>
        <w:pStyle w:val="ListParagraph"/>
        <w:numPr>
          <w:ilvl w:val="1"/>
          <w:numId w:val="1"/>
        </w:numPr>
        <w:ind w:left="450"/>
        <w:jc w:val="both"/>
      </w:pPr>
      <w:r>
        <w:t>Regional-based incentives for more shared services, collaboration, and consolidation to increase economies of scale</w:t>
      </w:r>
      <w:r w:rsidR="0094276A">
        <w:t xml:space="preserve">. </w:t>
      </w:r>
      <w:r>
        <w:t xml:space="preserve">Twenty-thirty percent savings potential has been reported in reduced administration and higher scale for the delivery of services. </w:t>
      </w:r>
    </w:p>
    <w:p w14:paraId="5CE214D0" w14:textId="77777777" w:rsidR="002069EB" w:rsidRDefault="002069EB" w:rsidP="002069EB">
      <w:pPr>
        <w:pStyle w:val="ListParagraph"/>
        <w:numPr>
          <w:ilvl w:val="1"/>
          <w:numId w:val="1"/>
        </w:numPr>
        <w:ind w:left="450"/>
        <w:jc w:val="both"/>
      </w:pPr>
      <w:r>
        <w:t>Tiered risk-based funding tied to access to water, cost/affordability, and water quality.</w:t>
      </w:r>
    </w:p>
    <w:p w14:paraId="6845571C" w14:textId="7B5D42C1" w:rsidR="002069EB" w:rsidRDefault="002069EB" w:rsidP="002069EB">
      <w:pPr>
        <w:pStyle w:val="ListParagraph"/>
        <w:numPr>
          <w:ilvl w:val="1"/>
          <w:numId w:val="1"/>
        </w:numPr>
        <w:ind w:left="450"/>
        <w:jc w:val="both"/>
      </w:pPr>
      <w:r>
        <w:t xml:space="preserve">More training programs </w:t>
      </w:r>
      <w:r w:rsidR="006737C6">
        <w:t xml:space="preserve">in rationalizing the </w:t>
      </w:r>
      <w:r>
        <w:t>pricing, procurement, and improved monitoring and tracking of program performance</w:t>
      </w:r>
      <w:r w:rsidR="006737C6">
        <w:t xml:space="preserve"> water district performance</w:t>
      </w:r>
      <w:r>
        <w:t xml:space="preserve">. A lot of data exists from utility reports, </w:t>
      </w:r>
      <w:r>
        <w:lastRenderedPageBreak/>
        <w:t xml:space="preserve">but the outcome </w:t>
      </w:r>
      <w:r w:rsidR="00C349D6">
        <w:t xml:space="preserve">and how the data are used for enforcement and verification are </w:t>
      </w:r>
      <w:r>
        <w:t>not well known</w:t>
      </w:r>
      <w:r w:rsidR="00C349D6">
        <w:t xml:space="preserve"> a</w:t>
      </w:r>
      <w:r w:rsidR="002C037C">
        <w:t>nd publicly disseminated.</w:t>
      </w:r>
    </w:p>
    <w:p w14:paraId="472BCE6C" w14:textId="0BB402E7" w:rsidR="002069EB" w:rsidRDefault="002069EB" w:rsidP="002069EB">
      <w:pPr>
        <w:pStyle w:val="ListParagraph"/>
        <w:numPr>
          <w:ilvl w:val="1"/>
          <w:numId w:val="1"/>
        </w:numPr>
        <w:ind w:left="450"/>
        <w:jc w:val="both"/>
      </w:pPr>
      <w:r>
        <w:t xml:space="preserve">More transparency in </w:t>
      </w:r>
      <w:r w:rsidR="00C70B47">
        <w:t xml:space="preserve">the weighing of </w:t>
      </w:r>
      <w:r w:rsidR="002C037C">
        <w:t xml:space="preserve">financial </w:t>
      </w:r>
      <w:r>
        <w:t xml:space="preserve">investment strategy options to justify </w:t>
      </w:r>
      <w:r w:rsidR="00C70B47">
        <w:t xml:space="preserve">project </w:t>
      </w:r>
      <w:r w:rsidR="002004D4">
        <w:t>awards,</w:t>
      </w:r>
      <w:r w:rsidR="00C70B47">
        <w:t xml:space="preserve"> especially as </w:t>
      </w:r>
      <w:r>
        <w:t>more capital-intensive projects</w:t>
      </w:r>
      <w:r w:rsidR="00C70B47">
        <w:t xml:space="preserve"> are being considered.</w:t>
      </w:r>
      <w:r w:rsidR="005B0DAC">
        <w:t xml:space="preserve"> This includes projects for the possible </w:t>
      </w:r>
      <w:r>
        <w:t xml:space="preserve">co-location of power, natural gas, and water desalination plans as exists in the Middle East. </w:t>
      </w:r>
    </w:p>
    <w:p w14:paraId="334E1DE0" w14:textId="77777777" w:rsidR="00FC6312" w:rsidRDefault="005B0DAC" w:rsidP="002069EB">
      <w:pPr>
        <w:pStyle w:val="ListParagraph"/>
        <w:numPr>
          <w:ilvl w:val="1"/>
          <w:numId w:val="1"/>
        </w:numPr>
        <w:ind w:left="450"/>
        <w:jc w:val="both"/>
      </w:pPr>
      <w:r>
        <w:t xml:space="preserve">More formal targets </w:t>
      </w:r>
      <w:r w:rsidR="008544CF">
        <w:t xml:space="preserve">are needed with public involvement for </w:t>
      </w:r>
      <w:r w:rsidR="002069EB">
        <w:t>resiliency and adaptation goals</w:t>
      </w:r>
      <w:r w:rsidR="008544CF">
        <w:t>.</w:t>
      </w:r>
    </w:p>
    <w:p w14:paraId="769AEBBC" w14:textId="274212B0" w:rsidR="002069EB" w:rsidRDefault="00FC6312" w:rsidP="002069EB">
      <w:pPr>
        <w:pStyle w:val="ListParagraph"/>
        <w:numPr>
          <w:ilvl w:val="1"/>
          <w:numId w:val="1"/>
        </w:numPr>
        <w:ind w:left="450"/>
        <w:jc w:val="both"/>
      </w:pPr>
      <w:r>
        <w:t xml:space="preserve"> There is a need to index </w:t>
      </w:r>
      <w:r w:rsidR="002069EB">
        <w:t>future state and regional investments in water infrastructure t</w:t>
      </w:r>
      <w:r>
        <w:t xml:space="preserve">ied to </w:t>
      </w:r>
      <w:r w:rsidR="002069EB">
        <w:t>growth</w:t>
      </w:r>
      <w:r>
        <w:t xml:space="preserve"> risks</w:t>
      </w:r>
      <w:r w:rsidR="002069EB">
        <w:t xml:space="preserve">, water supply and purification stress, and </w:t>
      </w:r>
      <w:r w:rsidR="00F55D8F">
        <w:t>support</w:t>
      </w:r>
      <w:r w:rsidR="002069EB">
        <w:t xml:space="preserve"> local economic development</w:t>
      </w:r>
      <w:r w:rsidR="0094276A">
        <w:t xml:space="preserve">. </w:t>
      </w:r>
      <w:r w:rsidR="00D128F5">
        <w:t>There is a need to a</w:t>
      </w:r>
      <w:r w:rsidR="002069EB">
        <w:t>llocate investments to areas with the greatest need for minimum quality and health as well as to support economic expansion in the state.</w:t>
      </w:r>
    </w:p>
    <w:p w14:paraId="305277B8" w14:textId="36E3B3B9" w:rsidR="002069EB" w:rsidRDefault="002069EB" w:rsidP="002069EB">
      <w:pPr>
        <w:pStyle w:val="ListParagraph"/>
        <w:numPr>
          <w:ilvl w:val="1"/>
          <w:numId w:val="1"/>
        </w:numPr>
        <w:ind w:left="450"/>
        <w:jc w:val="both"/>
      </w:pPr>
      <w:r>
        <w:t>Follow a supply curve strategy in determining budget amounts</w:t>
      </w:r>
      <w:r w:rsidR="00D128F5">
        <w:t xml:space="preserve"> and project awards for various geographic areas</w:t>
      </w:r>
      <w:r w:rsidR="004262BB">
        <w:t xml:space="preserve"> to determine which </w:t>
      </w:r>
      <w:r>
        <w:t xml:space="preserve">projects and programs </w:t>
      </w:r>
      <w:r w:rsidR="004262BB">
        <w:t xml:space="preserve">are </w:t>
      </w:r>
      <w:r>
        <w:t xml:space="preserve">funded. This is being done </w:t>
      </w:r>
      <w:r w:rsidR="00F55D8F">
        <w:t>to</w:t>
      </w:r>
      <w:r w:rsidR="004262BB">
        <w:t xml:space="preserve"> a general </w:t>
      </w:r>
      <w:r w:rsidR="00F55D8F">
        <w:t>extent,</w:t>
      </w:r>
      <w:r w:rsidR="004262BB">
        <w:t xml:space="preserve"> </w:t>
      </w:r>
      <w:r w:rsidR="00E15CA2">
        <w:t xml:space="preserve">but more rigor is needed (again from a public transparency standpoint). </w:t>
      </w:r>
    </w:p>
    <w:p w14:paraId="66C7A163" w14:textId="77777777" w:rsidR="002069EB" w:rsidRDefault="002069EB" w:rsidP="002069EB">
      <w:pPr>
        <w:pStyle w:val="ListParagraph"/>
        <w:numPr>
          <w:ilvl w:val="1"/>
          <w:numId w:val="1"/>
        </w:numPr>
        <w:ind w:left="450"/>
        <w:jc w:val="both"/>
      </w:pPr>
      <w:r>
        <w:t xml:space="preserve">Create more shared services operator networks at a regional level. </w:t>
      </w:r>
    </w:p>
    <w:p w14:paraId="1387411D" w14:textId="01D76A77" w:rsidR="002069EB" w:rsidRDefault="002069EB" w:rsidP="002069EB">
      <w:pPr>
        <w:pStyle w:val="ListParagraph"/>
        <w:numPr>
          <w:ilvl w:val="1"/>
          <w:numId w:val="1"/>
        </w:numPr>
        <w:ind w:left="450"/>
        <w:jc w:val="both"/>
      </w:pPr>
      <w:r>
        <w:t xml:space="preserve">Texas has close to </w:t>
      </w:r>
      <w:r w:rsidR="00F55D8F">
        <w:t>four hundred</w:t>
      </w:r>
      <w:r>
        <w:t xml:space="preserve"> data centers, and more are coming. A medium data center can consume on average 363,000 gallons of water per </w:t>
      </w:r>
      <w:r w:rsidR="00F55D8F">
        <w:t>day,</w:t>
      </w:r>
      <w:r>
        <w:t xml:space="preserve"> and the large mega data centers can consume up to </w:t>
      </w:r>
      <w:r w:rsidR="00F55D8F">
        <w:t>five</w:t>
      </w:r>
      <w:r>
        <w:t xml:space="preserve"> million gallons of water per day. Would it not be appropriate to request that new large commercial/industrial accounts purchase offsets to support this </w:t>
      </w:r>
      <w:r w:rsidR="00F55D8F">
        <w:t>high-volume</w:t>
      </w:r>
      <w:r>
        <w:t xml:space="preserve"> consumption? The state could offer traded offset bonds or coupons to sustain new growth and </w:t>
      </w:r>
      <w:r w:rsidR="00AB6415">
        <w:t xml:space="preserve">development </w:t>
      </w:r>
      <w:r w:rsidR="00F55D8F">
        <w:t>and</w:t>
      </w:r>
      <w:r>
        <w:t xml:space="preserve"> pay for added water demand that </w:t>
      </w:r>
      <w:r w:rsidR="0094276A">
        <w:t>must</w:t>
      </w:r>
      <w:r>
        <w:t xml:space="preserve"> be made up for broader consumer consumption or for other vital industries in the state.</w:t>
      </w:r>
    </w:p>
    <w:p w14:paraId="46D9A976" w14:textId="77777777" w:rsidR="002069EB" w:rsidRDefault="002069EB" w:rsidP="002069EB">
      <w:pPr>
        <w:pStyle w:val="ListParagraph"/>
        <w:ind w:left="450"/>
        <w:jc w:val="both"/>
      </w:pPr>
    </w:p>
    <w:p w14:paraId="2746E8FD" w14:textId="12E1B117" w:rsidR="002069EB" w:rsidRDefault="002069EB" w:rsidP="002069EB">
      <w:pPr>
        <w:pStyle w:val="ListParagraph"/>
        <w:ind w:left="450"/>
        <w:jc w:val="both"/>
      </w:pPr>
      <w:r>
        <w:t xml:space="preserve">Selecting the “right” project should not be left to the government, corporate users, and consultants/engineering companies in the state. There will need to be much public engagement and participation through local water districts and contacts with state </w:t>
      </w:r>
      <w:r w:rsidR="00D536B3">
        <w:t xml:space="preserve">and local </w:t>
      </w:r>
      <w:r>
        <w:t>officials. Because Texas has many strategic businesses and industries vital to America, there should also be an effort to obtain greater federal support, even though Texas has had a history of wanting to do things on its own. Not all the investment in water infrastructure should be borne by local taxpayers and consumers. Consumers need to be more educated and have informed opinions about the choices and risks facing Texas statewide, regionally, and locally. There will be competition for who gets rewarded and who will not get the project that they want. The means and information for public involvement are available. You just need to know where it is, how to get it, and use it in what is sure to be a more vocal debate on Texas’s water future.</w:t>
      </w:r>
    </w:p>
    <w:p w14:paraId="50D99AEC" w14:textId="77777777" w:rsidR="002069EB" w:rsidRPr="00B04204" w:rsidRDefault="002069EB" w:rsidP="00780B09">
      <w:pPr>
        <w:rPr>
          <w:b/>
          <w:bCs/>
        </w:rPr>
      </w:pPr>
    </w:p>
    <w:sectPr w:rsidR="002069EB" w:rsidRPr="00B042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7977" w14:textId="77777777" w:rsidR="007F0BBB" w:rsidRDefault="007F0BBB" w:rsidP="00780B09">
      <w:pPr>
        <w:spacing w:after="0" w:line="240" w:lineRule="auto"/>
      </w:pPr>
      <w:r>
        <w:separator/>
      </w:r>
    </w:p>
  </w:endnote>
  <w:endnote w:type="continuationSeparator" w:id="0">
    <w:p w14:paraId="223D5A8A" w14:textId="77777777" w:rsidR="007F0BBB" w:rsidRDefault="007F0BBB" w:rsidP="0078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C87F" w14:textId="77777777" w:rsidR="007F0BBB" w:rsidRDefault="007F0BBB" w:rsidP="00780B09">
      <w:pPr>
        <w:spacing w:after="0" w:line="240" w:lineRule="auto"/>
      </w:pPr>
      <w:r>
        <w:separator/>
      </w:r>
    </w:p>
  </w:footnote>
  <w:footnote w:type="continuationSeparator" w:id="0">
    <w:p w14:paraId="09A8BBA6" w14:textId="77777777" w:rsidR="007F0BBB" w:rsidRDefault="007F0BBB" w:rsidP="00780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E3F87"/>
    <w:multiLevelType w:val="multilevel"/>
    <w:tmpl w:val="D59A0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07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09"/>
    <w:rsid w:val="00075275"/>
    <w:rsid w:val="00130482"/>
    <w:rsid w:val="001458EF"/>
    <w:rsid w:val="001B08F0"/>
    <w:rsid w:val="002004D4"/>
    <w:rsid w:val="002069EB"/>
    <w:rsid w:val="00221DB4"/>
    <w:rsid w:val="00271E1D"/>
    <w:rsid w:val="002C037C"/>
    <w:rsid w:val="004262BB"/>
    <w:rsid w:val="004D7B9C"/>
    <w:rsid w:val="00514007"/>
    <w:rsid w:val="00583721"/>
    <w:rsid w:val="005B0DAC"/>
    <w:rsid w:val="006737C6"/>
    <w:rsid w:val="006A541C"/>
    <w:rsid w:val="006B1B6D"/>
    <w:rsid w:val="00754ED8"/>
    <w:rsid w:val="00780B09"/>
    <w:rsid w:val="007D51BF"/>
    <w:rsid w:val="007F0BBB"/>
    <w:rsid w:val="008544CF"/>
    <w:rsid w:val="008C2137"/>
    <w:rsid w:val="00911531"/>
    <w:rsid w:val="00925CAA"/>
    <w:rsid w:val="009375CD"/>
    <w:rsid w:val="0094276A"/>
    <w:rsid w:val="00945A1E"/>
    <w:rsid w:val="00A13135"/>
    <w:rsid w:val="00A51CC8"/>
    <w:rsid w:val="00A64269"/>
    <w:rsid w:val="00AB6415"/>
    <w:rsid w:val="00AD44DC"/>
    <w:rsid w:val="00B04204"/>
    <w:rsid w:val="00B77B17"/>
    <w:rsid w:val="00C349D6"/>
    <w:rsid w:val="00C70B47"/>
    <w:rsid w:val="00C82388"/>
    <w:rsid w:val="00CB46CB"/>
    <w:rsid w:val="00D128F5"/>
    <w:rsid w:val="00D536B3"/>
    <w:rsid w:val="00DA5242"/>
    <w:rsid w:val="00DE2ADD"/>
    <w:rsid w:val="00E15CA2"/>
    <w:rsid w:val="00F55D8F"/>
    <w:rsid w:val="00FC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03950"/>
  <w15:chartTrackingRefBased/>
  <w15:docId w15:val="{FD01274E-1386-4392-87F7-A3C14795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B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B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B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B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B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B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B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B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B09"/>
    <w:rPr>
      <w:rFonts w:eastAsiaTheme="majorEastAsia" w:cstheme="majorBidi"/>
      <w:color w:val="272727" w:themeColor="text1" w:themeTint="D8"/>
    </w:rPr>
  </w:style>
  <w:style w:type="paragraph" w:styleId="Title">
    <w:name w:val="Title"/>
    <w:basedOn w:val="Normal"/>
    <w:next w:val="Normal"/>
    <w:link w:val="TitleChar"/>
    <w:uiPriority w:val="10"/>
    <w:qFormat/>
    <w:rsid w:val="00780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B09"/>
    <w:pPr>
      <w:spacing w:before="160"/>
      <w:jc w:val="center"/>
    </w:pPr>
    <w:rPr>
      <w:i/>
      <w:iCs/>
      <w:color w:val="404040" w:themeColor="text1" w:themeTint="BF"/>
    </w:rPr>
  </w:style>
  <w:style w:type="character" w:customStyle="1" w:styleId="QuoteChar">
    <w:name w:val="Quote Char"/>
    <w:basedOn w:val="DefaultParagraphFont"/>
    <w:link w:val="Quote"/>
    <w:uiPriority w:val="29"/>
    <w:rsid w:val="00780B09"/>
    <w:rPr>
      <w:i/>
      <w:iCs/>
      <w:color w:val="404040" w:themeColor="text1" w:themeTint="BF"/>
    </w:rPr>
  </w:style>
  <w:style w:type="paragraph" w:styleId="ListParagraph">
    <w:name w:val="List Paragraph"/>
    <w:basedOn w:val="Normal"/>
    <w:uiPriority w:val="34"/>
    <w:qFormat/>
    <w:rsid w:val="00780B09"/>
    <w:pPr>
      <w:ind w:left="720"/>
      <w:contextualSpacing/>
    </w:pPr>
  </w:style>
  <w:style w:type="character" w:styleId="IntenseEmphasis">
    <w:name w:val="Intense Emphasis"/>
    <w:basedOn w:val="DefaultParagraphFont"/>
    <w:uiPriority w:val="21"/>
    <w:qFormat/>
    <w:rsid w:val="00780B09"/>
    <w:rPr>
      <w:i/>
      <w:iCs/>
      <w:color w:val="2F5496" w:themeColor="accent1" w:themeShade="BF"/>
    </w:rPr>
  </w:style>
  <w:style w:type="paragraph" w:styleId="IntenseQuote">
    <w:name w:val="Intense Quote"/>
    <w:basedOn w:val="Normal"/>
    <w:next w:val="Normal"/>
    <w:link w:val="IntenseQuoteChar"/>
    <w:uiPriority w:val="30"/>
    <w:qFormat/>
    <w:rsid w:val="00780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B09"/>
    <w:rPr>
      <w:i/>
      <w:iCs/>
      <w:color w:val="2F5496" w:themeColor="accent1" w:themeShade="BF"/>
    </w:rPr>
  </w:style>
  <w:style w:type="character" w:styleId="IntenseReference">
    <w:name w:val="Intense Reference"/>
    <w:basedOn w:val="DefaultParagraphFont"/>
    <w:uiPriority w:val="32"/>
    <w:qFormat/>
    <w:rsid w:val="00780B09"/>
    <w:rPr>
      <w:b/>
      <w:bCs/>
      <w:smallCaps/>
      <w:color w:val="2F5496" w:themeColor="accent1" w:themeShade="BF"/>
      <w:spacing w:val="5"/>
    </w:rPr>
  </w:style>
  <w:style w:type="paragraph" w:styleId="FootnoteText">
    <w:name w:val="footnote text"/>
    <w:basedOn w:val="Normal"/>
    <w:link w:val="FootnoteTextChar"/>
    <w:uiPriority w:val="99"/>
    <w:semiHidden/>
    <w:unhideWhenUsed/>
    <w:rsid w:val="00780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B09"/>
    <w:rPr>
      <w:sz w:val="20"/>
      <w:szCs w:val="20"/>
    </w:rPr>
  </w:style>
  <w:style w:type="character" w:styleId="FootnoteReference">
    <w:name w:val="footnote reference"/>
    <w:basedOn w:val="DefaultParagraphFont"/>
    <w:uiPriority w:val="99"/>
    <w:semiHidden/>
    <w:unhideWhenUsed/>
    <w:rsid w:val="00780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27BB6-2320-4012-82C8-7290C4AF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958</Words>
  <Characters>5337</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Davis</dc:creator>
  <cp:keywords/>
  <dc:description/>
  <cp:lastModifiedBy>Todd Davis</cp:lastModifiedBy>
  <cp:revision>40</cp:revision>
  <dcterms:created xsi:type="dcterms:W3CDTF">2025-07-20T11:16:00Z</dcterms:created>
  <dcterms:modified xsi:type="dcterms:W3CDTF">2025-07-20T12:20:00Z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3a4f83d2-c821-4af0-9af5-5029c8bcc7b4</vt:lpwstr>
  </property>
</Properties>
</file>